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954E" w14:textId="77777777" w:rsidR="00800EC5" w:rsidRDefault="002D7553">
      <w:pPr>
        <w:pStyle w:val="BodyText"/>
        <w:ind w:left="23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26DC4791" wp14:editId="7093E0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30115" cy="702945"/>
            <wp:effectExtent l="0" t="0" r="0" b="1905"/>
            <wp:wrapTight wrapText="bothSides">
              <wp:wrapPolygon edited="0">
                <wp:start x="0" y="0"/>
                <wp:lineTo x="0" y="21073"/>
                <wp:lineTo x="21404" y="21073"/>
                <wp:lineTo x="2140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11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9BC7E" w14:textId="77777777" w:rsidR="002D7553" w:rsidRDefault="002D7553">
      <w:pPr>
        <w:spacing w:before="196"/>
        <w:ind w:right="132"/>
        <w:jc w:val="center"/>
      </w:pPr>
    </w:p>
    <w:p w14:paraId="7914052A" w14:textId="77777777" w:rsidR="002D7553" w:rsidRDefault="002D7553">
      <w:pPr>
        <w:spacing w:before="196"/>
        <w:ind w:right="132"/>
        <w:jc w:val="center"/>
      </w:pPr>
    </w:p>
    <w:p w14:paraId="4B7D8902" w14:textId="1B6126A3" w:rsidR="00800EC5" w:rsidRPr="003F1681" w:rsidRDefault="002D7553">
      <w:pPr>
        <w:spacing w:before="196"/>
        <w:ind w:right="132"/>
        <w:jc w:val="center"/>
      </w:pPr>
      <w:r w:rsidRPr="003F1681">
        <w:t>Our</w:t>
      </w:r>
      <w:r w:rsidRPr="003F1681">
        <w:rPr>
          <w:spacing w:val="-5"/>
        </w:rPr>
        <w:t xml:space="preserve"> </w:t>
      </w:r>
      <w:r w:rsidRPr="003F1681">
        <w:t>Topic</w:t>
      </w:r>
      <w:r w:rsidRPr="003F1681">
        <w:rPr>
          <w:spacing w:val="-3"/>
        </w:rPr>
        <w:t xml:space="preserve"> </w:t>
      </w:r>
      <w:r w:rsidRPr="003F1681">
        <w:t>is</w:t>
      </w:r>
      <w:r w:rsidRPr="003F1681">
        <w:rPr>
          <w:spacing w:val="-4"/>
        </w:rPr>
        <w:t xml:space="preserve"> </w:t>
      </w:r>
      <w:r w:rsidRPr="003F1681">
        <w:rPr>
          <w:spacing w:val="-2"/>
        </w:rPr>
        <w:t>‘Celebrations’</w:t>
      </w:r>
    </w:p>
    <w:p w14:paraId="29FDE9FE" w14:textId="7FC8C9AC" w:rsidR="00800EC5" w:rsidRPr="003F1681" w:rsidRDefault="002D7553">
      <w:pPr>
        <w:pStyle w:val="BodyText"/>
        <w:spacing w:before="183"/>
        <w:ind w:left="23"/>
        <w:rPr>
          <w:sz w:val="22"/>
          <w:szCs w:val="22"/>
        </w:rPr>
      </w:pPr>
      <w:r w:rsidRPr="003F1681">
        <w:rPr>
          <w:sz w:val="22"/>
          <w:szCs w:val="22"/>
        </w:rPr>
        <w:t>During</w:t>
      </w:r>
      <w:r w:rsidRPr="003F1681">
        <w:rPr>
          <w:spacing w:val="-2"/>
          <w:sz w:val="22"/>
          <w:szCs w:val="22"/>
        </w:rPr>
        <w:t xml:space="preserve"> </w:t>
      </w:r>
      <w:r w:rsidRPr="003F1681">
        <w:rPr>
          <w:sz w:val="22"/>
          <w:szCs w:val="22"/>
        </w:rPr>
        <w:t>this</w:t>
      </w:r>
      <w:r w:rsidRPr="003F1681">
        <w:rPr>
          <w:spacing w:val="-1"/>
          <w:sz w:val="22"/>
          <w:szCs w:val="22"/>
        </w:rPr>
        <w:t xml:space="preserve"> </w:t>
      </w:r>
      <w:r w:rsidRPr="003F1681">
        <w:rPr>
          <w:sz w:val="22"/>
          <w:szCs w:val="22"/>
        </w:rPr>
        <w:t>half</w:t>
      </w:r>
      <w:r w:rsidRPr="003F1681">
        <w:rPr>
          <w:spacing w:val="-4"/>
          <w:sz w:val="22"/>
          <w:szCs w:val="22"/>
        </w:rPr>
        <w:t xml:space="preserve"> </w:t>
      </w:r>
      <w:r w:rsidRPr="003F1681">
        <w:rPr>
          <w:sz w:val="22"/>
          <w:szCs w:val="22"/>
        </w:rPr>
        <w:t>term</w:t>
      </w:r>
      <w:r w:rsidRPr="003F1681">
        <w:rPr>
          <w:spacing w:val="-3"/>
          <w:sz w:val="22"/>
          <w:szCs w:val="22"/>
        </w:rPr>
        <w:t xml:space="preserve"> </w:t>
      </w:r>
      <w:r w:rsidRPr="003F1681">
        <w:rPr>
          <w:sz w:val="22"/>
          <w:szCs w:val="22"/>
        </w:rPr>
        <w:t>we</w:t>
      </w:r>
      <w:r w:rsidRPr="003F1681">
        <w:rPr>
          <w:spacing w:val="-2"/>
          <w:sz w:val="22"/>
          <w:szCs w:val="22"/>
        </w:rPr>
        <w:t xml:space="preserve"> </w:t>
      </w:r>
      <w:r w:rsidRPr="003F1681">
        <w:rPr>
          <w:sz w:val="22"/>
          <w:szCs w:val="22"/>
        </w:rPr>
        <w:t>will</w:t>
      </w:r>
      <w:r w:rsidRPr="003F1681">
        <w:rPr>
          <w:spacing w:val="-1"/>
          <w:sz w:val="22"/>
          <w:szCs w:val="22"/>
        </w:rPr>
        <w:t xml:space="preserve"> </w:t>
      </w:r>
      <w:r w:rsidRPr="003F1681">
        <w:rPr>
          <w:sz w:val="22"/>
          <w:szCs w:val="22"/>
        </w:rPr>
        <w:t>be</w:t>
      </w:r>
      <w:r w:rsidRPr="003F1681">
        <w:rPr>
          <w:spacing w:val="-2"/>
          <w:sz w:val="22"/>
          <w:szCs w:val="22"/>
        </w:rPr>
        <w:t xml:space="preserve"> learning:</w:t>
      </w:r>
    </w:p>
    <w:p w14:paraId="0D068E11" w14:textId="77777777" w:rsidR="00800EC5" w:rsidRDefault="00800EC5">
      <w:pPr>
        <w:pStyle w:val="BodyText"/>
        <w:spacing w:before="9"/>
        <w:rPr>
          <w:sz w:val="1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3442"/>
        <w:gridCol w:w="3183"/>
      </w:tblGrid>
      <w:tr w:rsidR="00800EC5" w:rsidRPr="003F1681" w14:paraId="648FBAAA" w14:textId="77777777" w:rsidTr="002D7553">
        <w:trPr>
          <w:trHeight w:val="4156"/>
          <w:jc w:val="center"/>
        </w:trPr>
        <w:tc>
          <w:tcPr>
            <w:tcW w:w="3203" w:type="dxa"/>
          </w:tcPr>
          <w:p w14:paraId="4F84DF04" w14:textId="77777777" w:rsidR="00800EC5" w:rsidRPr="003F1681" w:rsidRDefault="002D7553" w:rsidP="002D7553">
            <w:pPr>
              <w:pStyle w:val="TableParagraph"/>
              <w:spacing w:before="1"/>
              <w:ind w:left="110"/>
              <w:jc w:val="center"/>
            </w:pPr>
            <w:proofErr w:type="spellStart"/>
            <w:r w:rsidRPr="003F1681">
              <w:rPr>
                <w:b/>
                <w:bCs/>
                <w:spacing w:val="-2"/>
              </w:rPr>
              <w:t>Maths</w:t>
            </w:r>
            <w:proofErr w:type="spellEnd"/>
          </w:p>
          <w:p w14:paraId="376C892D" w14:textId="6F866112" w:rsidR="00DD7AB5" w:rsidRPr="003F1681" w:rsidRDefault="002D7553" w:rsidP="00DD7AB5">
            <w:pPr>
              <w:pStyle w:val="TableParagraph"/>
              <w:ind w:left="110"/>
              <w:rPr>
                <w:i/>
                <w:iCs/>
              </w:rPr>
            </w:pPr>
            <w:r w:rsidRPr="003F1681">
              <w:t xml:space="preserve">We will </w:t>
            </w:r>
            <w:r w:rsidR="00DD7AB5" w:rsidRPr="003F1681">
              <w:t>begin by c</w:t>
            </w:r>
            <w:r w:rsidR="00DD7AB5" w:rsidRPr="003F1681">
              <w:t>ompar</w:t>
            </w:r>
            <w:r w:rsidR="00DD7AB5" w:rsidRPr="003F1681">
              <w:t>ing the</w:t>
            </w:r>
            <w:r w:rsidR="00DD7AB5" w:rsidRPr="003F1681">
              <w:t xml:space="preserve"> sizes</w:t>
            </w:r>
            <w:r w:rsidR="00DD7AB5" w:rsidRPr="003F1681">
              <w:t xml:space="preserve"> of different objects using the language</w:t>
            </w:r>
            <w:r w:rsidR="00DD7AB5" w:rsidRPr="003F1681">
              <w:t xml:space="preserve"> </w:t>
            </w:r>
            <w:r w:rsidR="00DD7AB5" w:rsidRPr="003F1681">
              <w:rPr>
                <w:i/>
                <w:iCs/>
              </w:rPr>
              <w:t>bigger, smaller, little</w:t>
            </w:r>
            <w:r w:rsidR="00DD7AB5" w:rsidRPr="003F1681">
              <w:rPr>
                <w:i/>
                <w:iCs/>
              </w:rPr>
              <w:t xml:space="preserve"> </w:t>
            </w:r>
            <w:r w:rsidR="00DD7AB5" w:rsidRPr="003F1681">
              <w:t xml:space="preserve">and the </w:t>
            </w:r>
            <w:proofErr w:type="gramStart"/>
            <w:r w:rsidR="00DD7AB5" w:rsidRPr="003F1681">
              <w:t>positional  vocab</w:t>
            </w:r>
            <w:r w:rsidR="00DD7AB5" w:rsidRPr="003F1681">
              <w:t>ulary</w:t>
            </w:r>
            <w:proofErr w:type="gramEnd"/>
            <w:r w:rsidR="00DD7AB5" w:rsidRPr="003F1681">
              <w:t xml:space="preserve"> such as</w:t>
            </w:r>
            <w:r w:rsidR="00DD7AB5" w:rsidRPr="003F1681">
              <w:t xml:space="preserve"> </w:t>
            </w:r>
            <w:r w:rsidR="00DD7AB5" w:rsidRPr="003F1681">
              <w:rPr>
                <w:i/>
                <w:iCs/>
              </w:rPr>
              <w:t>in, out, under, on, in front, behind.</w:t>
            </w:r>
          </w:p>
          <w:p w14:paraId="2E676D66" w14:textId="77777777" w:rsidR="00661ED2" w:rsidRPr="003F1681" w:rsidRDefault="00661ED2" w:rsidP="00DD7AB5">
            <w:pPr>
              <w:pStyle w:val="TableParagraph"/>
              <w:ind w:left="110"/>
            </w:pPr>
          </w:p>
          <w:p w14:paraId="33980935" w14:textId="77FC95C2" w:rsidR="00800EC5" w:rsidRPr="003F1681" w:rsidRDefault="00DD7AB5" w:rsidP="00DD7AB5">
            <w:pPr>
              <w:pStyle w:val="TableParagraph"/>
              <w:ind w:left="110"/>
            </w:pPr>
            <w:r w:rsidRPr="003F1681">
              <w:t xml:space="preserve">We will then move onto accurate counting up to 3, using our ‘fast eyes’ to </w:t>
            </w:r>
            <w:proofErr w:type="spellStart"/>
            <w:r w:rsidRPr="003F1681">
              <w:t>subitise</w:t>
            </w:r>
            <w:proofErr w:type="spellEnd"/>
            <w:r w:rsidRPr="003F1681">
              <w:t xml:space="preserve"> and instantly </w:t>
            </w:r>
            <w:proofErr w:type="spellStart"/>
            <w:r w:rsidRPr="003F1681">
              <w:t>recognise</w:t>
            </w:r>
            <w:proofErr w:type="spellEnd"/>
            <w:r w:rsidRPr="003F1681">
              <w:t xml:space="preserve"> an </w:t>
            </w:r>
            <w:proofErr w:type="gramStart"/>
            <w:r w:rsidRPr="003F1681">
              <w:t>amount</w:t>
            </w:r>
            <w:proofErr w:type="gramEnd"/>
            <w:r w:rsidRPr="003F1681">
              <w:t xml:space="preserve"> of objects, then count then carefully.</w:t>
            </w:r>
          </w:p>
        </w:tc>
        <w:tc>
          <w:tcPr>
            <w:tcW w:w="3442" w:type="dxa"/>
          </w:tcPr>
          <w:p w14:paraId="480C5DCD" w14:textId="77777777" w:rsidR="00800EC5" w:rsidRPr="003F1681" w:rsidRDefault="00DD7AB5" w:rsidP="00661ED2">
            <w:pPr>
              <w:pStyle w:val="TableParagraph"/>
              <w:ind w:left="109" w:right="175"/>
              <w:jc w:val="center"/>
            </w:pPr>
            <w:r w:rsidRPr="003F1681">
              <w:rPr>
                <w:b/>
                <w:bCs/>
              </w:rPr>
              <w:t>Phonics</w:t>
            </w:r>
          </w:p>
          <w:p w14:paraId="365509A9" w14:textId="0A9671C1" w:rsidR="00DD7AB5" w:rsidRPr="003F1681" w:rsidRDefault="00DD7AB5">
            <w:pPr>
              <w:pStyle w:val="TableParagraph"/>
              <w:ind w:left="109" w:right="175"/>
            </w:pPr>
            <w:r w:rsidRPr="003F1681">
              <w:t xml:space="preserve">We follow the Read, Write, Inc Phonics </w:t>
            </w:r>
            <w:proofErr w:type="spellStart"/>
            <w:r w:rsidRPr="003F1681">
              <w:t>programme</w:t>
            </w:r>
            <w:proofErr w:type="spellEnd"/>
            <w:r w:rsidRPr="003F1681">
              <w:t>.</w:t>
            </w:r>
          </w:p>
          <w:p w14:paraId="590E7B84" w14:textId="77777777" w:rsidR="00DD7AB5" w:rsidRPr="003F1681" w:rsidRDefault="00DD7AB5">
            <w:pPr>
              <w:pStyle w:val="TableParagraph"/>
              <w:ind w:left="109" w:right="175"/>
            </w:pPr>
          </w:p>
          <w:p w14:paraId="3236C773" w14:textId="77777777" w:rsidR="00DD7AB5" w:rsidRPr="003F1681" w:rsidRDefault="00DD7AB5">
            <w:pPr>
              <w:pStyle w:val="TableParagraph"/>
              <w:ind w:left="109" w:right="175"/>
            </w:pPr>
            <w:r w:rsidRPr="003F1681">
              <w:t>Each day, we will complete a different listening game, to encourage the children to ‘tune in’ to a wide range of sounds and volumes.</w:t>
            </w:r>
          </w:p>
          <w:p w14:paraId="411DB617" w14:textId="77777777" w:rsidR="00DD7AB5" w:rsidRPr="003F1681" w:rsidRDefault="00DD7AB5">
            <w:pPr>
              <w:pStyle w:val="TableParagraph"/>
              <w:ind w:left="109" w:right="175"/>
            </w:pPr>
          </w:p>
          <w:p w14:paraId="7F4EE2CA" w14:textId="27CC319C" w:rsidR="00DD7AB5" w:rsidRPr="003F1681" w:rsidRDefault="00DD7AB5" w:rsidP="00DD7AB5">
            <w:pPr>
              <w:pStyle w:val="TableParagraph"/>
              <w:ind w:left="109" w:right="175"/>
            </w:pPr>
            <w:r w:rsidRPr="003F1681">
              <w:t>In some games, the children will need to respond to a sound by moving their bodies or copying a repeated sound. For some games, we will practice our ‘Fred talk’, by segmenting the sounds in words to sound them out, for example b-u-g = bug</w:t>
            </w:r>
          </w:p>
        </w:tc>
        <w:tc>
          <w:tcPr>
            <w:tcW w:w="3183" w:type="dxa"/>
          </w:tcPr>
          <w:p w14:paraId="105F655C" w14:textId="77777777" w:rsidR="00800EC5" w:rsidRPr="003F1681" w:rsidRDefault="002D7553" w:rsidP="00661ED2">
            <w:pPr>
              <w:pStyle w:val="TableParagraph"/>
              <w:spacing w:before="1"/>
              <w:ind w:left="105"/>
              <w:jc w:val="center"/>
            </w:pPr>
            <w:r w:rsidRPr="003F1681">
              <w:rPr>
                <w:b/>
                <w:bCs/>
                <w:spacing w:val="-2"/>
              </w:rPr>
              <w:t>English</w:t>
            </w:r>
          </w:p>
          <w:p w14:paraId="04B76762" w14:textId="77777777" w:rsidR="00800EC5" w:rsidRPr="003F1681" w:rsidRDefault="00DD7AB5">
            <w:pPr>
              <w:pStyle w:val="TableParagraph"/>
              <w:ind w:left="105" w:right="104"/>
            </w:pPr>
            <w:r w:rsidRPr="003F1681">
              <w:t>This term, we will read and focus on the texts Hansel and Gretel, The Gingerbread Man and The Nativity Story.</w:t>
            </w:r>
          </w:p>
          <w:p w14:paraId="79945D5D" w14:textId="77777777" w:rsidR="00DD7AB5" w:rsidRPr="003F1681" w:rsidRDefault="00DD7AB5">
            <w:pPr>
              <w:pStyle w:val="TableParagraph"/>
              <w:ind w:left="105" w:right="104"/>
            </w:pPr>
          </w:p>
          <w:p w14:paraId="29C77993" w14:textId="3CC4426C" w:rsidR="00DD7AB5" w:rsidRPr="003F1681" w:rsidRDefault="00DD7AB5">
            <w:pPr>
              <w:pStyle w:val="TableParagraph"/>
              <w:ind w:left="105" w:right="104"/>
            </w:pPr>
            <w:r w:rsidRPr="003F1681">
              <w:t xml:space="preserve">We like to use the areas on continuous provision in the classroom to practice retelling these stories, such as in the Role Play area and the Small World area as </w:t>
            </w:r>
            <w:r w:rsidR="00661ED2" w:rsidRPr="003F1681">
              <w:t xml:space="preserve">well all </w:t>
            </w:r>
            <w:r w:rsidRPr="003F1681">
              <w:t>challenges in the Construction, Sand, Water and Fine Motor areas</w:t>
            </w:r>
            <w:r w:rsidR="00661ED2" w:rsidRPr="003F1681">
              <w:t xml:space="preserve"> throughout the term</w:t>
            </w:r>
            <w:r w:rsidRPr="003F1681">
              <w:t xml:space="preserve">. </w:t>
            </w:r>
          </w:p>
        </w:tc>
      </w:tr>
      <w:tr w:rsidR="002D4AAF" w:rsidRPr="003F1681" w14:paraId="7CBF855A" w14:textId="77777777" w:rsidTr="002D7553">
        <w:trPr>
          <w:trHeight w:val="1704"/>
          <w:jc w:val="center"/>
        </w:trPr>
        <w:tc>
          <w:tcPr>
            <w:tcW w:w="3203" w:type="dxa"/>
            <w:vMerge w:val="restart"/>
          </w:tcPr>
          <w:p w14:paraId="5BF8117C" w14:textId="77777777" w:rsidR="002D4AAF" w:rsidRPr="003F1681" w:rsidRDefault="002D4AAF" w:rsidP="00661ED2">
            <w:pPr>
              <w:pStyle w:val="TableParagraph"/>
              <w:spacing w:line="292" w:lineRule="exact"/>
              <w:ind w:left="110"/>
              <w:jc w:val="center"/>
              <w:rPr>
                <w:b/>
                <w:bCs/>
              </w:rPr>
            </w:pPr>
            <w:r w:rsidRPr="003F1681">
              <w:rPr>
                <w:b/>
                <w:bCs/>
              </w:rPr>
              <w:t>Understanding of the World</w:t>
            </w:r>
          </w:p>
          <w:p w14:paraId="37889CF2" w14:textId="72C75D6C" w:rsidR="002D4AAF" w:rsidRPr="003F1681" w:rsidRDefault="002D4AAF" w:rsidP="002D4AAF">
            <w:pPr>
              <w:pStyle w:val="TableParagraph"/>
              <w:spacing w:line="292" w:lineRule="exact"/>
              <w:ind w:left="110"/>
            </w:pPr>
            <w:r w:rsidRPr="003F1681">
              <w:t xml:space="preserve">We will focus on </w:t>
            </w:r>
            <w:r w:rsidRPr="003F1681">
              <w:t>different celebrations that are part of the children’s lives, such as Diwali, Hallowe’en, Bonfire Night and Christmas. We will talk about how different families celebrate these events in different ways.</w:t>
            </w:r>
          </w:p>
          <w:p w14:paraId="398BA207" w14:textId="77777777" w:rsidR="002D4AAF" w:rsidRPr="003F1681" w:rsidRDefault="002D4AAF" w:rsidP="002D4AAF">
            <w:pPr>
              <w:pStyle w:val="TableParagraph"/>
              <w:spacing w:line="292" w:lineRule="exact"/>
              <w:rPr>
                <w:b/>
                <w:bCs/>
              </w:rPr>
            </w:pPr>
          </w:p>
          <w:p w14:paraId="1F86AF86" w14:textId="77777777" w:rsidR="002D4AAF" w:rsidRPr="003F1681" w:rsidRDefault="002D4AAF" w:rsidP="002D4AAF">
            <w:pPr>
              <w:pStyle w:val="TableParagraph"/>
              <w:spacing w:line="292" w:lineRule="exact"/>
              <w:ind w:left="110"/>
            </w:pPr>
            <w:r w:rsidRPr="003F1681">
              <w:t>We will use our senses to learn about how materials can change. This includes using play dough, melting chocolate and melting ice!</w:t>
            </w:r>
          </w:p>
          <w:p w14:paraId="18807276" w14:textId="77777777" w:rsidR="002D4AAF" w:rsidRPr="003F1681" w:rsidRDefault="002D4AAF" w:rsidP="002D4AAF">
            <w:pPr>
              <w:pStyle w:val="TableParagraph"/>
              <w:spacing w:line="292" w:lineRule="exact"/>
              <w:ind w:left="110"/>
            </w:pPr>
          </w:p>
          <w:p w14:paraId="6BC39044" w14:textId="1EA0EED3" w:rsidR="002D4AAF" w:rsidRPr="003F1681" w:rsidRDefault="002D4AAF" w:rsidP="002D4AAF">
            <w:pPr>
              <w:pStyle w:val="TableParagraph"/>
              <w:spacing w:line="292" w:lineRule="exact"/>
              <w:ind w:left="110"/>
            </w:pPr>
            <w:r w:rsidRPr="003F1681">
              <w:t>We will be learning about the Nativity Story, which will help us to prepare for our performance in the Christmas concert with the F2 children!</w:t>
            </w:r>
          </w:p>
        </w:tc>
        <w:tc>
          <w:tcPr>
            <w:tcW w:w="3442" w:type="dxa"/>
            <w:tcBorders>
              <w:bottom w:val="single" w:sz="18" w:space="0" w:color="FFFFFF" w:themeColor="background1"/>
            </w:tcBorders>
          </w:tcPr>
          <w:p w14:paraId="279F6BAA" w14:textId="77777777" w:rsidR="002D4AAF" w:rsidRPr="003F1681" w:rsidRDefault="002D4AAF">
            <w:pPr>
              <w:pStyle w:val="TableParagraph"/>
              <w:ind w:left="106"/>
            </w:pPr>
            <w:r w:rsidRPr="003F1681">
              <w:rPr>
                <w:noProof/>
              </w:rPr>
              <w:drawing>
                <wp:inline distT="0" distB="0" distL="0" distR="0" wp14:anchorId="34DEDE70" wp14:editId="6508350B">
                  <wp:extent cx="1878527" cy="705802"/>
                  <wp:effectExtent l="0" t="0" r="0" b="0"/>
                  <wp:docPr id="2" name="Image 2" descr="C:\Users\rebecca.mbikayi\AppData\Local\Microsoft\Windows\INetCache\Content.MSO\2CD6CAC9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rebecca.mbikayi\AppData\Local\Microsoft\Windows\INetCache\Content.MSO\2CD6CAC9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527" cy="70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</w:tcPr>
          <w:p w14:paraId="375EE52F" w14:textId="4ED8C834" w:rsidR="002D4AAF" w:rsidRPr="003F1681" w:rsidRDefault="002D4AAF" w:rsidP="00661ED2">
            <w:pPr>
              <w:pStyle w:val="TableParagraph"/>
              <w:spacing w:before="1"/>
              <w:ind w:left="110"/>
              <w:jc w:val="center"/>
              <w:rPr>
                <w:spacing w:val="-4"/>
              </w:rPr>
            </w:pPr>
            <w:r w:rsidRPr="003F1681">
              <w:rPr>
                <w:b/>
                <w:bCs/>
                <w:spacing w:val="-4"/>
              </w:rPr>
              <w:t>PSED</w:t>
            </w:r>
          </w:p>
          <w:p w14:paraId="1C0EBEEF" w14:textId="6A775198" w:rsidR="002D4AAF" w:rsidRPr="003F1681" w:rsidRDefault="002D4AAF" w:rsidP="002D4AAF">
            <w:pPr>
              <w:pStyle w:val="TableParagraph"/>
              <w:spacing w:before="1"/>
              <w:ind w:left="110"/>
            </w:pPr>
            <w:r w:rsidRPr="003F1681">
              <w:t>We</w:t>
            </w:r>
            <w:r w:rsidRPr="003F1681">
              <w:rPr>
                <w:spacing w:val="-10"/>
              </w:rPr>
              <w:t xml:space="preserve"> </w:t>
            </w:r>
            <w:r w:rsidRPr="003F1681">
              <w:t>will</w:t>
            </w:r>
            <w:r w:rsidRPr="003F1681">
              <w:rPr>
                <w:spacing w:val="-9"/>
              </w:rPr>
              <w:t xml:space="preserve"> </w:t>
            </w:r>
            <w:r w:rsidRPr="003F1681">
              <w:t>be</w:t>
            </w:r>
            <w:r w:rsidRPr="003F1681">
              <w:rPr>
                <w:spacing w:val="-10"/>
              </w:rPr>
              <w:t xml:space="preserve"> </w:t>
            </w:r>
            <w:r w:rsidRPr="003F1681">
              <w:t>celebrating</w:t>
            </w:r>
            <w:r w:rsidRPr="003F1681">
              <w:rPr>
                <w:spacing w:val="-9"/>
              </w:rPr>
              <w:t xml:space="preserve"> </w:t>
            </w:r>
            <w:r w:rsidRPr="003F1681">
              <w:t xml:space="preserve">our </w:t>
            </w:r>
            <w:r w:rsidRPr="003F1681">
              <w:rPr>
                <w:spacing w:val="-2"/>
              </w:rPr>
              <w:t>differences</w:t>
            </w:r>
            <w:r w:rsidRPr="003F1681">
              <w:rPr>
                <w:spacing w:val="-2"/>
              </w:rPr>
              <w:t xml:space="preserve"> and what makes us special. </w:t>
            </w:r>
            <w:r w:rsidRPr="003F1681">
              <w:t>We will be talking about what makes a kind friend.</w:t>
            </w:r>
          </w:p>
        </w:tc>
      </w:tr>
      <w:tr w:rsidR="002D4AAF" w:rsidRPr="003F1681" w14:paraId="06E70AAD" w14:textId="77777777" w:rsidTr="002D7553">
        <w:trPr>
          <w:trHeight w:val="4680"/>
          <w:jc w:val="center"/>
        </w:trPr>
        <w:tc>
          <w:tcPr>
            <w:tcW w:w="3203" w:type="dxa"/>
            <w:vMerge/>
          </w:tcPr>
          <w:p w14:paraId="7C01AC5B" w14:textId="36FF45AE" w:rsidR="002D4AAF" w:rsidRPr="003F1681" w:rsidRDefault="002D4AAF" w:rsidP="002D4AAF">
            <w:pPr>
              <w:pStyle w:val="TableParagraph"/>
              <w:spacing w:before="3"/>
              <w:jc w:val="center"/>
            </w:pPr>
          </w:p>
        </w:tc>
        <w:tc>
          <w:tcPr>
            <w:tcW w:w="3442" w:type="dxa"/>
            <w:tcBorders>
              <w:top w:val="single" w:sz="18" w:space="0" w:color="FFFFFF" w:themeColor="background1"/>
            </w:tcBorders>
          </w:tcPr>
          <w:p w14:paraId="6671E37A" w14:textId="77777777" w:rsidR="002D4AAF" w:rsidRPr="003F1681" w:rsidRDefault="002D4AAF" w:rsidP="002D4AAF">
            <w:pPr>
              <w:pStyle w:val="TableParagraph"/>
              <w:spacing w:before="3"/>
              <w:jc w:val="center"/>
            </w:pPr>
            <w:r w:rsidRPr="003F1681">
              <w:rPr>
                <w:b/>
                <w:bCs/>
              </w:rPr>
              <w:t>Expressive Arts</w:t>
            </w:r>
          </w:p>
          <w:p w14:paraId="7D65C51A" w14:textId="6E63BA8F" w:rsidR="002D4AAF" w:rsidRPr="003F1681" w:rsidRDefault="002D4AAF" w:rsidP="00661ED2">
            <w:pPr>
              <w:pStyle w:val="TableParagraph"/>
              <w:spacing w:line="271" w:lineRule="exact"/>
              <w:ind w:left="109"/>
            </w:pPr>
            <w:r w:rsidRPr="003F1681">
              <w:t>We have a different focus each week in our Workshop area, alongside the continuous provision of collage materials and box modelling. We love seeing the interesting models the children can create!</w:t>
            </w:r>
          </w:p>
          <w:p w14:paraId="0454D36B" w14:textId="77777777" w:rsidR="002D4AAF" w:rsidRPr="003F1681" w:rsidRDefault="002D4AAF" w:rsidP="00661ED2">
            <w:pPr>
              <w:pStyle w:val="TableParagraph"/>
              <w:spacing w:line="271" w:lineRule="exact"/>
              <w:ind w:left="109"/>
            </w:pPr>
          </w:p>
          <w:p w14:paraId="6F9768D3" w14:textId="2B11B89C" w:rsidR="002D4AAF" w:rsidRPr="003F1681" w:rsidRDefault="003F1681" w:rsidP="00661ED2">
            <w:pPr>
              <w:pStyle w:val="TableParagraph"/>
              <w:spacing w:line="271" w:lineRule="exact"/>
              <w:ind w:left="109"/>
            </w:pPr>
            <w:r w:rsidRPr="003F1681">
              <w:drawing>
                <wp:anchor distT="0" distB="0" distL="114300" distR="114300" simplePos="0" relativeHeight="251676160" behindDoc="1" locked="0" layoutInCell="1" allowOverlap="1" wp14:anchorId="5A7D9848" wp14:editId="366240B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633730</wp:posOffset>
                  </wp:positionV>
                  <wp:extent cx="654050" cy="773430"/>
                  <wp:effectExtent l="0" t="0" r="0" b="7620"/>
                  <wp:wrapTight wrapText="bothSides">
                    <wp:wrapPolygon edited="0">
                      <wp:start x="0" y="0"/>
                      <wp:lineTo x="0" y="21281"/>
                      <wp:lineTo x="20761" y="21281"/>
                      <wp:lineTo x="20761" y="0"/>
                      <wp:lineTo x="0" y="0"/>
                    </wp:wrapPolygon>
                  </wp:wrapTight>
                  <wp:docPr id="1926616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61646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4AAF" w:rsidRPr="003F1681">
              <w:t xml:space="preserve">We will be looking at the work of </w:t>
            </w:r>
            <w:r w:rsidR="002D4AAF" w:rsidRPr="003F1681">
              <w:t>Gerhard Richter</w:t>
            </w:r>
            <w:r w:rsidR="002D4AAF" w:rsidRPr="003F1681">
              <w:t xml:space="preserve">, who creates beautiful artwork using a lot of </w:t>
            </w:r>
            <w:proofErr w:type="spellStart"/>
            <w:r w:rsidR="002D4AAF" w:rsidRPr="003F1681">
              <w:t>colourful</w:t>
            </w:r>
            <w:proofErr w:type="spellEnd"/>
            <w:r w:rsidR="002D4AAF" w:rsidRPr="003F1681">
              <w:t xml:space="preserve"> lines!</w:t>
            </w:r>
          </w:p>
          <w:p w14:paraId="6860580F" w14:textId="36490A02" w:rsidR="002D4AAF" w:rsidRPr="003F1681" w:rsidRDefault="003F1681" w:rsidP="00661ED2">
            <w:pPr>
              <w:pStyle w:val="TableParagraph"/>
              <w:spacing w:line="271" w:lineRule="exact"/>
              <w:ind w:left="109"/>
            </w:pPr>
            <w:r w:rsidRPr="003F1681">
              <w:drawing>
                <wp:anchor distT="0" distB="0" distL="114300" distR="114300" simplePos="0" relativeHeight="251655680" behindDoc="1" locked="0" layoutInCell="1" allowOverlap="1" wp14:anchorId="7B9D1AD9" wp14:editId="4D777FB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127635</wp:posOffset>
                  </wp:positionV>
                  <wp:extent cx="948690" cy="628015"/>
                  <wp:effectExtent l="0" t="0" r="3810" b="635"/>
                  <wp:wrapTight wrapText="bothSides">
                    <wp:wrapPolygon edited="0">
                      <wp:start x="0" y="0"/>
                      <wp:lineTo x="0" y="20967"/>
                      <wp:lineTo x="21253" y="20967"/>
                      <wp:lineTo x="21253" y="0"/>
                      <wp:lineTo x="0" y="0"/>
                    </wp:wrapPolygon>
                  </wp:wrapTight>
                  <wp:docPr id="10976161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61611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3" w:type="dxa"/>
          </w:tcPr>
          <w:p w14:paraId="09837359" w14:textId="6CB9A9D8" w:rsidR="002D4AAF" w:rsidRPr="003F1681" w:rsidRDefault="002D4AAF" w:rsidP="00661ED2">
            <w:pPr>
              <w:pStyle w:val="TableParagraph"/>
              <w:spacing w:before="1"/>
              <w:ind w:left="105"/>
              <w:jc w:val="center"/>
              <w:rPr>
                <w:b/>
                <w:bCs/>
                <w:spacing w:val="-2"/>
              </w:rPr>
            </w:pPr>
            <w:r w:rsidRPr="003F1681">
              <w:rPr>
                <w:b/>
                <w:bCs/>
              </w:rPr>
              <w:t>Physical</w:t>
            </w:r>
            <w:r w:rsidRPr="003F1681">
              <w:rPr>
                <w:b/>
                <w:bCs/>
                <w:spacing w:val="-2"/>
              </w:rPr>
              <w:t xml:space="preserve"> Development</w:t>
            </w:r>
          </w:p>
          <w:p w14:paraId="21A3C8EC" w14:textId="29B5B284" w:rsidR="002D4AAF" w:rsidRPr="003F1681" w:rsidRDefault="002D4AAF" w:rsidP="00661ED2">
            <w:pPr>
              <w:pStyle w:val="TableParagraph"/>
              <w:spacing w:before="1"/>
              <w:ind w:left="105"/>
              <w:rPr>
                <w:spacing w:val="-2"/>
              </w:rPr>
            </w:pPr>
            <w:r w:rsidRPr="003F1681">
              <w:rPr>
                <w:spacing w:val="-2"/>
              </w:rPr>
              <w:t xml:space="preserve">Every day, we complete an activity to strengthen our fine motor and gross motor skills, using some funky music to help us! </w:t>
            </w:r>
          </w:p>
          <w:p w14:paraId="6C25FBB0" w14:textId="560DDBE4" w:rsidR="002D4AAF" w:rsidRPr="003F1681" w:rsidRDefault="002D4AAF" w:rsidP="00661ED2">
            <w:pPr>
              <w:pStyle w:val="TableParagraph"/>
              <w:spacing w:before="1"/>
              <w:ind w:left="105"/>
            </w:pPr>
            <w:r w:rsidRPr="003F1681">
              <w:rPr>
                <w:spacing w:val="-2"/>
              </w:rPr>
              <w:t>We are challenged through cutting activities each week, with a focus on handling scissors safely and developing good pencil grip and control.</w:t>
            </w:r>
          </w:p>
          <w:p w14:paraId="2107F2F8" w14:textId="77777777" w:rsidR="002D4AAF" w:rsidRPr="003F1681" w:rsidRDefault="002D4AAF">
            <w:pPr>
              <w:pStyle w:val="TableParagraph"/>
              <w:ind w:left="105" w:right="171"/>
            </w:pPr>
          </w:p>
          <w:p w14:paraId="08357C1D" w14:textId="144F6FD9" w:rsidR="002D4AAF" w:rsidRPr="003F1681" w:rsidRDefault="002D4AAF">
            <w:pPr>
              <w:pStyle w:val="TableParagraph"/>
              <w:ind w:left="105" w:right="171"/>
            </w:pPr>
            <w:r w:rsidRPr="003F1681">
              <w:t>We complete PE sessions each week- this term we are focusing on balancing!</w:t>
            </w:r>
          </w:p>
        </w:tc>
      </w:tr>
    </w:tbl>
    <w:p w14:paraId="1C26A4D8" w14:textId="77777777" w:rsidR="00661ED2" w:rsidRDefault="00661ED2">
      <w:pPr>
        <w:pStyle w:val="BodyText"/>
        <w:spacing w:before="161"/>
      </w:pPr>
    </w:p>
    <w:p w14:paraId="2A47FDB1" w14:textId="47C8DCBB" w:rsidR="00800EC5" w:rsidRDefault="002D7553">
      <w:pPr>
        <w:pStyle w:val="BodyText"/>
        <w:spacing w:line="259" w:lineRule="auto"/>
        <w:ind w:left="23"/>
      </w:pPr>
      <w:r>
        <w:t>Thank you</w:t>
      </w:r>
      <w:r w:rsidR="003F1681">
        <w:t xml:space="preserve"> all</w:t>
      </w:r>
      <w:r>
        <w:t xml:space="preserve"> for </w:t>
      </w:r>
      <w:r>
        <w:t>your continued support</w:t>
      </w:r>
      <w:r w:rsidR="003F1681">
        <w:t>!</w:t>
      </w:r>
      <w:r>
        <w:t xml:space="preserve"> </w:t>
      </w:r>
      <w:r w:rsidR="003F1681">
        <w:t xml:space="preserve">If you would like to speak about any of these learning opportunities or how you can support your child at home, please speak to Mrs Leivers and </w:t>
      </w:r>
      <w:proofErr w:type="spellStart"/>
      <w:r w:rsidR="003F1681">
        <w:t>Mrs</w:t>
      </w:r>
      <w:proofErr w:type="spellEnd"/>
      <w:r w:rsidR="003F1681">
        <w:t xml:space="preserve"> Chan.</w:t>
      </w:r>
    </w:p>
    <w:sectPr w:rsidR="00800EC5" w:rsidSect="002D7553">
      <w:type w:val="continuous"/>
      <w:pgSz w:w="11910" w:h="16840"/>
      <w:pgMar w:top="720" w:right="720" w:bottom="720" w:left="720" w:header="720" w:footer="720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C5"/>
    <w:rsid w:val="002D4AAF"/>
    <w:rsid w:val="002D7553"/>
    <w:rsid w:val="003F1681"/>
    <w:rsid w:val="00661ED2"/>
    <w:rsid w:val="00800EC5"/>
    <w:rsid w:val="00C87F2C"/>
    <w:rsid w:val="00D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19FA"/>
  <w15:docId w15:val="{450D7287-66FD-491C-9F89-EE9FD83A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Mbikayi</dc:creator>
  <cp:lastModifiedBy>Sian Leivers</cp:lastModifiedBy>
  <cp:revision>3</cp:revision>
  <dcterms:created xsi:type="dcterms:W3CDTF">2025-11-20T22:08:00Z</dcterms:created>
  <dcterms:modified xsi:type="dcterms:W3CDTF">2025-11-20T22:09:00Z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